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90A1" w14:textId="222E036F" w:rsidR="00CC12B8" w:rsidRDefault="009850C9" w:rsidP="00C66DB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78" w:right="6" w:hanging="578"/>
        <w:jc w:val="both"/>
      </w:pPr>
      <w:bookmarkStart w:id="0" w:name="_GoBack"/>
      <w:bookmarkEnd w:id="0"/>
      <w:r>
        <w:rPr>
          <w:spacing w:val="-3"/>
        </w:rPr>
        <w:t xml:space="preserve">The </w:t>
      </w:r>
      <w:r>
        <w:rPr>
          <w:i/>
          <w:spacing w:val="-3"/>
        </w:rPr>
        <w:t xml:space="preserve">Improving safety for </w:t>
      </w:r>
      <w:r>
        <w:rPr>
          <w:i/>
          <w:spacing w:val="-4"/>
        </w:rPr>
        <w:t xml:space="preserve">Queenslanders </w:t>
      </w:r>
      <w:r>
        <w:rPr>
          <w:i/>
        </w:rPr>
        <w:t xml:space="preserve">at </w:t>
      </w:r>
      <w:r>
        <w:rPr>
          <w:i/>
          <w:spacing w:val="-3"/>
        </w:rPr>
        <w:t xml:space="preserve">work </w:t>
      </w:r>
      <w:r>
        <w:rPr>
          <w:spacing w:val="-3"/>
        </w:rPr>
        <w:t xml:space="preserve">policy </w:t>
      </w:r>
      <w:r>
        <w:rPr>
          <w:spacing w:val="-4"/>
        </w:rPr>
        <w:t xml:space="preserve">platform </w:t>
      </w:r>
      <w:r>
        <w:rPr>
          <w:spacing w:val="-3"/>
        </w:rPr>
        <w:t xml:space="preserve">document </w:t>
      </w:r>
      <w:r>
        <w:rPr>
          <w:spacing w:val="-4"/>
        </w:rPr>
        <w:t>reinstat</w:t>
      </w:r>
      <w:r w:rsidR="00310D9A">
        <w:rPr>
          <w:spacing w:val="-4"/>
        </w:rPr>
        <w:t>es</w:t>
      </w:r>
      <w:r>
        <w:rPr>
          <w:spacing w:val="-4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 xml:space="preserve">position </w:t>
      </w:r>
      <w:r>
        <w:t xml:space="preserve">of </w:t>
      </w:r>
      <w:r>
        <w:rPr>
          <w:spacing w:val="-4"/>
        </w:rPr>
        <w:t xml:space="preserve">Commissioner </w:t>
      </w:r>
      <w:r>
        <w:rPr>
          <w:spacing w:val="-3"/>
        </w:rPr>
        <w:t xml:space="preserve">for </w:t>
      </w:r>
      <w:r>
        <w:rPr>
          <w:spacing w:val="-4"/>
        </w:rPr>
        <w:t xml:space="preserve">Electrical </w:t>
      </w:r>
      <w:r>
        <w:rPr>
          <w:spacing w:val="-3"/>
        </w:rPr>
        <w:t>Safety.</w:t>
      </w:r>
    </w:p>
    <w:p w14:paraId="302B90A4" w14:textId="3F3F48D7" w:rsidR="00CC12B8" w:rsidRDefault="009850C9" w:rsidP="00C66DB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78" w:right="6" w:hanging="578"/>
        <w:jc w:val="both"/>
      </w:pPr>
      <w:r w:rsidRPr="002C0555">
        <w:rPr>
          <w:spacing w:val="-3"/>
        </w:rPr>
        <w:t xml:space="preserve">The </w:t>
      </w:r>
      <w:r w:rsidRPr="002C0555">
        <w:rPr>
          <w:spacing w:val="-4"/>
        </w:rPr>
        <w:t xml:space="preserve">Commissioner </w:t>
      </w:r>
      <w:r w:rsidRPr="002C0555">
        <w:rPr>
          <w:spacing w:val="-3"/>
        </w:rPr>
        <w:t xml:space="preserve">for </w:t>
      </w:r>
      <w:r w:rsidRPr="002C0555">
        <w:rPr>
          <w:spacing w:val="-4"/>
        </w:rPr>
        <w:t xml:space="preserve">Electrical </w:t>
      </w:r>
      <w:r w:rsidRPr="002C0555">
        <w:rPr>
          <w:spacing w:val="-3"/>
        </w:rPr>
        <w:t xml:space="preserve">Safety </w:t>
      </w:r>
      <w:r w:rsidRPr="002C0555">
        <w:rPr>
          <w:spacing w:val="-4"/>
        </w:rPr>
        <w:t xml:space="preserve">Queensland (Commissioner) </w:t>
      </w:r>
      <w:r>
        <w:t xml:space="preserve">is </w:t>
      </w:r>
      <w:r w:rsidRPr="002C0555">
        <w:rPr>
          <w:spacing w:val="-3"/>
        </w:rPr>
        <w:t>established</w:t>
      </w:r>
      <w:r w:rsidRPr="002C0555">
        <w:rPr>
          <w:spacing w:val="-9"/>
        </w:rPr>
        <w:t xml:space="preserve"> </w:t>
      </w:r>
      <w:r w:rsidRPr="002C0555">
        <w:rPr>
          <w:spacing w:val="-3"/>
        </w:rPr>
        <w:t>under</w:t>
      </w:r>
      <w:r w:rsidR="002C0555" w:rsidRPr="002C0555">
        <w:rPr>
          <w:spacing w:val="-3"/>
        </w:rPr>
        <w:t xml:space="preserve"> </w:t>
      </w:r>
      <w:r w:rsidR="00A7087A">
        <w:rPr>
          <w:spacing w:val="-3"/>
        </w:rPr>
        <w:t>t</w:t>
      </w:r>
      <w:r w:rsidRPr="00A7087A">
        <w:t>he</w:t>
      </w:r>
      <w:r w:rsidRPr="002C0555">
        <w:rPr>
          <w:i/>
        </w:rPr>
        <w:t xml:space="preserve"> Electrical Safety Act 2002</w:t>
      </w:r>
      <w:r>
        <w:t>.</w:t>
      </w:r>
    </w:p>
    <w:p w14:paraId="302B90A6" w14:textId="77777777" w:rsidR="00CC12B8" w:rsidRDefault="009850C9" w:rsidP="00C66DB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78" w:right="6" w:hanging="578"/>
        <w:jc w:val="both"/>
      </w:pP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Commissioner</w:t>
      </w:r>
      <w:r>
        <w:rPr>
          <w:spacing w:val="-9"/>
        </w:rPr>
        <w:t xml:space="preserve"> </w:t>
      </w:r>
      <w:r>
        <w:rPr>
          <w:spacing w:val="-3"/>
        </w:rP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strong</w:t>
      </w:r>
      <w:r>
        <w:rPr>
          <w:spacing w:val="-7"/>
        </w:rPr>
        <w:t xml:space="preserve"> </w:t>
      </w:r>
      <w:r>
        <w:rPr>
          <w:spacing w:val="-3"/>
        </w:rPr>
        <w:t>voice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4"/>
        </w:rPr>
        <w:t>government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4"/>
        </w:rPr>
        <w:t>electrical</w:t>
      </w:r>
      <w:r>
        <w:rPr>
          <w:spacing w:val="-7"/>
        </w:rPr>
        <w:t xml:space="preserve"> </w:t>
      </w:r>
      <w:r>
        <w:rPr>
          <w:spacing w:val="-3"/>
        </w:rPr>
        <w:t>safety</w:t>
      </w:r>
      <w:r>
        <w:rPr>
          <w:spacing w:val="-8"/>
        </w:rPr>
        <w:t xml:space="preserve"> </w:t>
      </w:r>
      <w:r>
        <w:rPr>
          <w:spacing w:val="-4"/>
        </w:rPr>
        <w:t>matters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t xml:space="preserve">is an </w:t>
      </w:r>
      <w:r>
        <w:rPr>
          <w:spacing w:val="-4"/>
        </w:rPr>
        <w:t xml:space="preserve">independent </w:t>
      </w:r>
      <w:r>
        <w:rPr>
          <w:spacing w:val="-3"/>
        </w:rPr>
        <w:t xml:space="preserve">advocate for </w:t>
      </w:r>
      <w:r>
        <w:rPr>
          <w:spacing w:val="-4"/>
        </w:rPr>
        <w:t xml:space="preserve">electrical </w:t>
      </w:r>
      <w:r>
        <w:rPr>
          <w:spacing w:val="-3"/>
        </w:rPr>
        <w:t xml:space="preserve">safety </w:t>
      </w:r>
      <w:r>
        <w:t>in</w:t>
      </w:r>
      <w:r>
        <w:rPr>
          <w:spacing w:val="-25"/>
        </w:rPr>
        <w:t xml:space="preserve"> </w:t>
      </w:r>
      <w:r>
        <w:rPr>
          <w:spacing w:val="-4"/>
        </w:rPr>
        <w:t>Queensland.</w:t>
      </w:r>
    </w:p>
    <w:p w14:paraId="302B90A8" w14:textId="4C046A8B" w:rsidR="00CC12B8" w:rsidRDefault="007F5263" w:rsidP="00C66DB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78" w:right="6" w:hanging="578"/>
        <w:jc w:val="both"/>
      </w:pPr>
      <w:r>
        <w:rPr>
          <w:spacing w:val="-4"/>
        </w:rPr>
        <w:t xml:space="preserve">Under section </w:t>
      </w:r>
      <w:r w:rsidR="008D139D">
        <w:rPr>
          <w:spacing w:val="-4"/>
        </w:rPr>
        <w:t xml:space="preserve">68 of the </w:t>
      </w:r>
      <w:r w:rsidR="008D139D" w:rsidRPr="0015122F">
        <w:rPr>
          <w:i/>
          <w:spacing w:val="-4"/>
        </w:rPr>
        <w:t>Electrical Safety Act 2002</w:t>
      </w:r>
      <w:r w:rsidR="008D139D">
        <w:rPr>
          <w:spacing w:val="-4"/>
        </w:rPr>
        <w:t>, the Commissioner is appointed by the Governor in Council</w:t>
      </w:r>
      <w:r w:rsidR="009850C9">
        <w:rPr>
          <w:spacing w:val="-4"/>
        </w:rPr>
        <w:t>.</w:t>
      </w:r>
    </w:p>
    <w:p w14:paraId="302B90AA" w14:textId="07DE22EE" w:rsidR="00CC12B8" w:rsidRDefault="009850C9" w:rsidP="00C66DB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78" w:right="6" w:hanging="578"/>
        <w:jc w:val="both"/>
      </w:pPr>
      <w:r>
        <w:rPr>
          <w:u w:val="single"/>
        </w:rPr>
        <w:t>Cabinet endorsed</w:t>
      </w:r>
      <w:r>
        <w:t xml:space="preserve"> that Mr Greg Skyring be recommended to the Governor in Council for appointment as Commissioner for Electrical Safety for a term of three years commencing from 18 July 2019.</w:t>
      </w:r>
    </w:p>
    <w:p w14:paraId="58670791" w14:textId="3726E06D" w:rsidR="00A04F7A" w:rsidRPr="00A04F7A" w:rsidRDefault="00A04F7A" w:rsidP="00C66DBC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right="3" w:hanging="580"/>
        <w:jc w:val="both"/>
      </w:pPr>
      <w:r w:rsidRPr="00A04F7A">
        <w:rPr>
          <w:i/>
          <w:u w:val="single"/>
        </w:rPr>
        <w:t>Attachment</w:t>
      </w:r>
      <w:r w:rsidR="00C66DBC">
        <w:rPr>
          <w:i/>
          <w:u w:val="single"/>
        </w:rPr>
        <w:t>s</w:t>
      </w:r>
    </w:p>
    <w:p w14:paraId="72DE1023" w14:textId="6B191F41" w:rsidR="00A04F7A" w:rsidRDefault="00A04F7A" w:rsidP="00C66DBC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247" w:right="3" w:hanging="567"/>
      </w:pPr>
      <w:r>
        <w:t>Nil.</w:t>
      </w:r>
    </w:p>
    <w:sectPr w:rsidR="00A04F7A" w:rsidSect="005559B3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7A94" w14:textId="77777777" w:rsidR="007B720E" w:rsidRDefault="007B720E" w:rsidP="001267A5">
      <w:r>
        <w:separator/>
      </w:r>
    </w:p>
  </w:endnote>
  <w:endnote w:type="continuationSeparator" w:id="0">
    <w:p w14:paraId="1FF43CA9" w14:textId="77777777" w:rsidR="007B720E" w:rsidRDefault="007B720E" w:rsidP="001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CE6F7" w14:textId="77777777" w:rsidR="007B720E" w:rsidRDefault="007B720E" w:rsidP="001267A5">
      <w:r>
        <w:separator/>
      </w:r>
    </w:p>
  </w:footnote>
  <w:footnote w:type="continuationSeparator" w:id="0">
    <w:p w14:paraId="199DAFD5" w14:textId="77777777" w:rsidR="007B720E" w:rsidRDefault="007B720E" w:rsidP="0012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33F3" w14:textId="77777777" w:rsidR="001267A5" w:rsidRPr="00937A4A" w:rsidRDefault="001267A5" w:rsidP="001267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1B98DF0D" w14:textId="77777777" w:rsidR="001267A5" w:rsidRPr="00937A4A" w:rsidRDefault="001267A5" w:rsidP="001267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52B1AD2B" w14:textId="060ADC66" w:rsidR="001267A5" w:rsidRPr="00937A4A" w:rsidRDefault="001267A5" w:rsidP="001267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June 2019</w:t>
    </w:r>
  </w:p>
  <w:p w14:paraId="054D3459" w14:textId="1F6F57FA" w:rsidR="001267A5" w:rsidRDefault="001267A5" w:rsidP="001267A5">
    <w:pPr>
      <w:pStyle w:val="Header"/>
      <w:spacing w:before="120"/>
      <w:rPr>
        <w:b/>
        <w:u w:val="single"/>
      </w:rPr>
    </w:pPr>
    <w:r>
      <w:rPr>
        <w:b/>
        <w:u w:val="single"/>
      </w:rPr>
      <w:t>Appointment of the Com</w:t>
    </w:r>
    <w:r w:rsidR="00B73CA7">
      <w:rPr>
        <w:b/>
        <w:u w:val="single"/>
      </w:rPr>
      <w:t>missioner for Electrical Safety</w:t>
    </w:r>
  </w:p>
  <w:p w14:paraId="7DDDF91E" w14:textId="4B795E7B" w:rsidR="001267A5" w:rsidRDefault="001267A5" w:rsidP="001267A5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Minister for Education and </w:t>
    </w:r>
    <w:r w:rsidR="00A06301">
      <w:rPr>
        <w:b/>
        <w:u w:val="single"/>
      </w:rPr>
      <w:t xml:space="preserve">Minister for </w:t>
    </w:r>
    <w:r>
      <w:rPr>
        <w:b/>
        <w:u w:val="single"/>
      </w:rPr>
      <w:t>Industrial Relations</w:t>
    </w:r>
  </w:p>
  <w:p w14:paraId="47AAFC58" w14:textId="77777777" w:rsidR="001267A5" w:rsidRDefault="001267A5" w:rsidP="001267A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75E9"/>
    <w:multiLevelType w:val="hybridMultilevel"/>
    <w:tmpl w:val="6A687E78"/>
    <w:lvl w:ilvl="0" w:tplc="535693B0">
      <w:start w:val="1"/>
      <w:numFmt w:val="decimal"/>
      <w:lvlText w:val="%1."/>
      <w:lvlJc w:val="left"/>
      <w:pPr>
        <w:ind w:left="580" w:hanging="361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44FE1366"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8D20A410"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AAEEEF52">
      <w:numFmt w:val="bullet"/>
      <w:lvlText w:val="•"/>
      <w:lvlJc w:val="left"/>
      <w:pPr>
        <w:ind w:left="3245" w:hanging="361"/>
      </w:pPr>
      <w:rPr>
        <w:rFonts w:hint="default"/>
      </w:rPr>
    </w:lvl>
    <w:lvl w:ilvl="4" w:tplc="D848D4F0">
      <w:numFmt w:val="bullet"/>
      <w:lvlText w:val="•"/>
      <w:lvlJc w:val="left"/>
      <w:pPr>
        <w:ind w:left="4133" w:hanging="361"/>
      </w:pPr>
      <w:rPr>
        <w:rFonts w:hint="default"/>
      </w:rPr>
    </w:lvl>
    <w:lvl w:ilvl="5" w:tplc="7EBA4634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A0EAAF6C"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4EB85718">
      <w:numFmt w:val="bullet"/>
      <w:lvlText w:val="•"/>
      <w:lvlJc w:val="left"/>
      <w:pPr>
        <w:ind w:left="6799" w:hanging="361"/>
      </w:pPr>
      <w:rPr>
        <w:rFonts w:hint="default"/>
      </w:rPr>
    </w:lvl>
    <w:lvl w:ilvl="8" w:tplc="B8087A8C">
      <w:numFmt w:val="bullet"/>
      <w:lvlText w:val="•"/>
      <w:lvlJc w:val="left"/>
      <w:pPr>
        <w:ind w:left="768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B8"/>
    <w:rsid w:val="00111255"/>
    <w:rsid w:val="001267A5"/>
    <w:rsid w:val="0015122F"/>
    <w:rsid w:val="002C0555"/>
    <w:rsid w:val="002D46C6"/>
    <w:rsid w:val="00310D9A"/>
    <w:rsid w:val="0034720D"/>
    <w:rsid w:val="003517FD"/>
    <w:rsid w:val="003D1D85"/>
    <w:rsid w:val="0053753F"/>
    <w:rsid w:val="005559B3"/>
    <w:rsid w:val="00580EF9"/>
    <w:rsid w:val="0068521E"/>
    <w:rsid w:val="007B720E"/>
    <w:rsid w:val="007F5263"/>
    <w:rsid w:val="008119A2"/>
    <w:rsid w:val="00836EB5"/>
    <w:rsid w:val="008D139D"/>
    <w:rsid w:val="009850C9"/>
    <w:rsid w:val="00A04F7A"/>
    <w:rsid w:val="00A06301"/>
    <w:rsid w:val="00A7087A"/>
    <w:rsid w:val="00B73CA7"/>
    <w:rsid w:val="00C66DBC"/>
    <w:rsid w:val="00CC12B8"/>
    <w:rsid w:val="00DA26CB"/>
    <w:rsid w:val="00E13C68"/>
    <w:rsid w:val="00E16F13"/>
    <w:rsid w:val="00E7278D"/>
    <w:rsid w:val="00F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9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0" w:right="2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6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7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6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7A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9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2F4C8-8BFA-43B3-9CCA-6112D263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8833F-0D51-4142-ABFF-17163DF62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FC8D5-F639-41DB-AD5E-F82D32BF82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629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3 - Proactive Release Significant Appointment CES.DOCX</vt:lpstr>
    </vt:vector>
  </TitlesOfParts>
  <Company/>
  <LinksUpToDate>false</LinksUpToDate>
  <CharactersWithSpaces>735</CharactersWithSpaces>
  <SharedDoc>false</SharedDoc>
  <HyperlinkBase>https://www.cabinet.qld.gov.au/documents/2019/Jun/ApptEcS/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Attachment 3 - Proactive Release Significant Appointment CES.DOCX</dc:title>
  <dc:creator/>
  <cp:lastModifiedBy/>
  <cp:revision>11</cp:revision>
  <cp:lastPrinted>2019-08-05T02:49:00Z</cp:lastPrinted>
  <dcterms:created xsi:type="dcterms:W3CDTF">2019-05-17T04:59:00Z</dcterms:created>
  <dcterms:modified xsi:type="dcterms:W3CDTF">2019-12-11T09:21:00Z</dcterms:modified>
  <cp:category>Significant_Appointments,Electricity,Safety,Workplace_Health_and_Safety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2019-05-16T00:00:00Z</vt:filetime>
  </property>
  <property fmtid="{D5CDD505-2E9C-101B-9397-08002B2CF9AE}" pid="5" name="_NewReviewCycle">
    <vt:lpwstr/>
  </property>
  <property fmtid="{D5CDD505-2E9C-101B-9397-08002B2CF9AE}" pid="6" name="ContentTypeId">
    <vt:lpwstr>0x010100DDE14CFDD070B24F85F5DE43654FF01E</vt:lpwstr>
  </property>
</Properties>
</file>